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280" w:type="dxa"/>
        <w:tblInd w:w="0" w:type="dxa"/>
        <w:shd w:val="clear"/>
        <w:tblLayout w:type="fixed"/>
        <w:tblCellMar>
          <w:top w:w="0" w:type="dxa"/>
          <w:left w:w="0" w:type="dxa"/>
          <w:bottom w:w="0" w:type="dxa"/>
          <w:right w:w="0" w:type="dxa"/>
        </w:tblCellMar>
      </w:tblPr>
      <w:tblGrid>
        <w:gridCol w:w="4603"/>
        <w:gridCol w:w="2087"/>
        <w:gridCol w:w="1614"/>
        <w:gridCol w:w="1254"/>
        <w:gridCol w:w="1734"/>
        <w:gridCol w:w="1254"/>
        <w:gridCol w:w="1734"/>
      </w:tblGrid>
      <w:tr>
        <w:tblPrEx>
          <w:shd w:val="clear"/>
          <w:tblLayout w:type="fixed"/>
          <w:tblCellMar>
            <w:top w:w="0" w:type="dxa"/>
            <w:left w:w="0" w:type="dxa"/>
            <w:bottom w:w="0" w:type="dxa"/>
            <w:right w:w="0" w:type="dxa"/>
          </w:tblCellMar>
        </w:tblPrEx>
        <w:trPr>
          <w:trHeight w:val="1275" w:hRule="atLeast"/>
        </w:trPr>
        <w:tc>
          <w:tcPr>
            <w:tcW w:w="14280" w:type="dxa"/>
            <w:gridSpan w:val="7"/>
            <w:tcBorders>
              <w:top w:val="nil"/>
              <w:left w:val="nil"/>
              <w:bottom w:val="single" w:color="000000" w:sz="8" w:space="0"/>
              <w:right w:val="nil"/>
            </w:tcBorders>
            <w:shd w:val="clear"/>
            <w:tcMar>
              <w:top w:w="15" w:type="dxa"/>
              <w:left w:w="15" w:type="dxa"/>
              <w:right w:w="15" w:type="dxa"/>
            </w:tcMar>
            <w:vAlign w:val="center"/>
          </w:tcPr>
          <w:p>
            <w:pPr>
              <w:jc w:val="center"/>
              <w:rPr>
                <w:rFonts w:hint="eastAsia" w:ascii="黑体" w:hAnsi="宋体" w:eastAsia="黑体" w:cs="黑体"/>
                <w:i w:val="0"/>
                <w:color w:val="000000"/>
                <w:sz w:val="28"/>
                <w:szCs w:val="28"/>
                <w:u w:val="none"/>
              </w:rPr>
            </w:pPr>
          </w:p>
        </w:tc>
      </w:tr>
      <w:tr>
        <w:tblPrEx>
          <w:shd w:val="clear"/>
          <w:tblLayout w:type="fixed"/>
          <w:tblCellMar>
            <w:top w:w="0" w:type="dxa"/>
            <w:left w:w="0" w:type="dxa"/>
            <w:bottom w:w="0" w:type="dxa"/>
            <w:right w:w="0" w:type="dxa"/>
          </w:tblCellMar>
        </w:tblPrEx>
        <w:trPr>
          <w:trHeight w:val="585" w:hRule="atLeast"/>
        </w:trPr>
        <w:tc>
          <w:tcPr>
            <w:tcW w:w="4603"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报考部门</w:t>
            </w:r>
          </w:p>
        </w:tc>
        <w:tc>
          <w:tcPr>
            <w:tcW w:w="208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报考职位</w:t>
            </w:r>
          </w:p>
        </w:tc>
        <w:tc>
          <w:tcPr>
            <w:tcW w:w="161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计划招考人数</w:t>
            </w:r>
          </w:p>
        </w:tc>
        <w:tc>
          <w:tcPr>
            <w:tcW w:w="12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报考人数</w:t>
            </w:r>
          </w:p>
        </w:tc>
        <w:tc>
          <w:tcPr>
            <w:tcW w:w="173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审核通过人数</w:t>
            </w:r>
          </w:p>
        </w:tc>
        <w:tc>
          <w:tcPr>
            <w:tcW w:w="12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交费人数</w:t>
            </w:r>
          </w:p>
        </w:tc>
        <w:tc>
          <w:tcPr>
            <w:tcW w:w="173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bdr w:val="none" w:color="auto" w:sz="0" w:space="0"/>
                <w:lang w:val="en-US" w:eastAsia="zh-CN" w:bidi="ar"/>
              </w:rPr>
              <w:t>上传照片人数</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王琦美术博物馆（渝中区文艺创作中心）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展览策划</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0</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渝中区干部人事档案服务中心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干部人事档案管理</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34</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33</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22</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33</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渝中区干部人事档案服务中心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综合管理</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750</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729</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568</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730</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渝中区互联网舆情中心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网络综合管理</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107</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98</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74</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99</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渝中区融媒体中心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美编</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38</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35</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29</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35</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渝中区融媒体中心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全媒体记者</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74</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72</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61</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72</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渝中区商会服务中心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综合管理</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68</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68</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59</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68</w:t>
            </w:r>
          </w:p>
        </w:tc>
      </w:tr>
      <w:tr>
        <w:tblPrEx>
          <w:shd w:val="clear"/>
          <w:tblLayout w:type="fixed"/>
          <w:tblCellMar>
            <w:top w:w="0" w:type="dxa"/>
            <w:left w:w="0" w:type="dxa"/>
            <w:bottom w:w="0" w:type="dxa"/>
            <w:right w:w="0" w:type="dxa"/>
          </w:tblCellMar>
        </w:tblPrEx>
        <w:trPr>
          <w:trHeight w:val="585" w:hRule="atLeast"/>
        </w:trPr>
        <w:tc>
          <w:tcPr>
            <w:tcW w:w="4603"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渝中区政协调研信息中心</w:t>
            </w:r>
          </w:p>
        </w:tc>
        <w:tc>
          <w:tcPr>
            <w:tcW w:w="2087"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信息管理</w:t>
            </w:r>
          </w:p>
        </w:tc>
        <w:tc>
          <w:tcPr>
            <w:tcW w:w="161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687</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670</w:t>
            </w:r>
          </w:p>
        </w:tc>
        <w:tc>
          <w:tcPr>
            <w:tcW w:w="125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530</w:t>
            </w:r>
          </w:p>
        </w:tc>
        <w:tc>
          <w:tcPr>
            <w:tcW w:w="1734"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673</w:t>
            </w:r>
          </w:p>
        </w:tc>
      </w:tr>
      <w:tr>
        <w:tblPrEx>
          <w:shd w:val="clear"/>
          <w:tblLayout w:type="fixed"/>
          <w:tblCellMar>
            <w:top w:w="0" w:type="dxa"/>
            <w:left w:w="0" w:type="dxa"/>
            <w:bottom w:w="0" w:type="dxa"/>
            <w:right w:w="0" w:type="dxa"/>
          </w:tblCellMar>
        </w:tblPrEx>
        <w:trPr>
          <w:trHeight w:val="585" w:hRule="atLeast"/>
        </w:trPr>
        <w:tc>
          <w:tcPr>
            <w:tcW w:w="6690" w:type="dxa"/>
            <w:gridSpan w:val="2"/>
            <w:tcBorders>
              <w:top w:val="single" w:color="000000" w:sz="8" w:space="0"/>
              <w:left w:val="single" w:color="000000" w:sz="8" w:space="0"/>
              <w:bottom w:val="nil"/>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合计</w:t>
            </w:r>
          </w:p>
        </w:tc>
        <w:tc>
          <w:tcPr>
            <w:tcW w:w="1614" w:type="dxa"/>
            <w:tcBorders>
              <w:top w:val="nil"/>
              <w:left w:val="nil"/>
              <w:bottom w:val="nil"/>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w:t>
            </w:r>
          </w:p>
        </w:tc>
        <w:tc>
          <w:tcPr>
            <w:tcW w:w="1254" w:type="dxa"/>
            <w:tcBorders>
              <w:top w:val="nil"/>
              <w:left w:val="nil"/>
              <w:bottom w:val="nil"/>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1759</w:t>
            </w:r>
          </w:p>
        </w:tc>
        <w:tc>
          <w:tcPr>
            <w:tcW w:w="1734" w:type="dxa"/>
            <w:tcBorders>
              <w:top w:val="nil"/>
              <w:left w:val="nil"/>
              <w:bottom w:val="nil"/>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1706</w:t>
            </w:r>
          </w:p>
        </w:tc>
        <w:tc>
          <w:tcPr>
            <w:tcW w:w="1254" w:type="dxa"/>
            <w:tcBorders>
              <w:top w:val="nil"/>
              <w:left w:val="nil"/>
              <w:bottom w:val="nil"/>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1343</w:t>
            </w:r>
          </w:p>
        </w:tc>
        <w:tc>
          <w:tcPr>
            <w:tcW w:w="1734" w:type="dxa"/>
            <w:tcBorders>
              <w:top w:val="nil"/>
              <w:left w:val="nil"/>
              <w:bottom w:val="nil"/>
              <w:right w:val="single" w:color="000000" w:sz="8"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1711</w:t>
            </w:r>
          </w:p>
        </w:tc>
      </w:tr>
      <w:tr>
        <w:tblPrEx>
          <w:shd w:val="clear"/>
          <w:tblLayout w:type="fixed"/>
          <w:tblCellMar>
            <w:top w:w="0" w:type="dxa"/>
            <w:left w:w="0" w:type="dxa"/>
            <w:bottom w:w="0" w:type="dxa"/>
            <w:right w:w="0" w:type="dxa"/>
          </w:tblCellMar>
        </w:tblPrEx>
        <w:trPr>
          <w:trHeight w:val="870" w:hRule="atLeast"/>
        </w:trPr>
        <w:tc>
          <w:tcPr>
            <w:tcW w:w="14280" w:type="dxa"/>
            <w:gridSpan w:val="7"/>
            <w:tcBorders>
              <w:top w:val="single" w:color="auto" w:sz="8" w:space="0"/>
              <w:left w:val="single" w:color="auto" w:sz="8" w:space="0"/>
              <w:bottom w:val="single" w:color="auto" w:sz="8" w:space="0"/>
              <w:right w:val="single" w:color="auto" w:sz="8"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备注：根据简章要求，王琦美术博物馆（渝中区文艺创作中心）展览策划岗位因报名人数达不到笔试开考比例而被取消本次招聘，由中共渝中区委组织部、渝中区人力社保局向该岗位已缴费的报考人员征得本人同意后将其调整到符合报考条件的其它招聘岗位（渝中区融媒体中心美编岗位）。</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5B2426"/>
    <w:rsid w:val="345B2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2020-01-20T06:51:00Z</dcterms:created>
  <dc:creator>Administrator</dc:creator>
  <cp:lastModifiedBy>Administrator</cp:lastModifiedBy>
  <dcterms:modified xsi:type="dcterms:W3CDTF">2020-01-20T06:51:46Z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